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drawing>
          <wp:anchor distT="0" distB="0" distL="0" distR="0" simplePos="0" relativeHeight="2" behindDoc="1" locked="0" layoutInCell="0" allowOverlap="1">
            <wp:simplePos x="0" y="0"/>
            <wp:positionH relativeFrom="column">
              <wp:posOffset>-67945</wp:posOffset>
            </wp:positionH>
            <wp:positionV relativeFrom="paragraph">
              <wp:posOffset>-178435</wp:posOffset>
            </wp:positionV>
            <wp:extent cx="1878965" cy="663575"/>
            <wp:effectExtent l="0" t="0" r="0" b="0"/>
            <wp:wrapSquare wrapText="bothSides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0" b="6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66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sz w:val="20"/>
          <w:lang w:val="ru-RU"/>
        </w:rPr>
        <w:t>ООО “Инновационное экологическое оборудование”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 xml:space="preserve">Юридический адрес: 108811, г. Москва, п. Московский, 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22-й км Киевское шоссе, влд. 4, стр. 2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ИНН 9724018440/КПП 775101001 ОГРН 1207700277400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р/с  40702810638000261496 к/с 30101810400000000225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БИК 044525225 в ПАО СБЕРБАНК</w:t>
      </w:r>
    </w:p>
    <w:p>
      <w:pPr>
        <w:pStyle w:val="normal11"/>
        <w:spacing w:lineRule="auto" w:line="276"/>
        <w:jc w:val="right"/>
        <w:rPr/>
      </w:pPr>
      <w:r>
        <w:rPr>
          <w:rFonts w:ascii="Arial" w:hAnsi="Arial"/>
          <w:sz w:val="20"/>
          <w:lang w:val="ru-RU"/>
        </w:rPr>
        <w:t xml:space="preserve">т. 7(800)350-34-36 ( бесплатно по РФ)  </w:t>
      </w:r>
      <w:hyperlink r:id="rId3" w:tooltip="http://www.greenlos.ru/">
        <w:r>
          <w:rPr>
            <w:rStyle w:val="Hyperlink"/>
            <w:rFonts w:ascii="Arial" w:hAnsi="Arial"/>
            <w:color w:val="1155CC"/>
            <w:sz w:val="20"/>
            <w:u w:val="single"/>
            <w:lang w:val="en-US"/>
          </w:rPr>
          <w:t>www.greenlos.ru</w:t>
        </w:r>
      </w:hyperlink>
    </w:p>
    <w:p>
      <w:pPr>
        <w:pStyle w:val="normal11"/>
        <w:spacing w:lineRule="auto" w:line="276"/>
        <w:jc w:val="right"/>
        <w:rPr>
          <w:sz w:val="20"/>
        </w:rPr>
      </w:pPr>
      <w:r>
        <w:rPr>
          <w:sz w:val="20"/>
        </w:rPr>
        <w:drawing>
          <wp:anchor distT="0" distB="0" distL="0" distR="0" simplePos="0" relativeHeight="3" behindDoc="1" locked="0" layoutInCell="0" allowOverlap="1">
            <wp:simplePos x="0" y="0"/>
            <wp:positionH relativeFrom="column">
              <wp:posOffset>1561465</wp:posOffset>
            </wp:positionH>
            <wp:positionV relativeFrom="paragraph">
              <wp:posOffset>104775</wp:posOffset>
            </wp:positionV>
            <wp:extent cx="3056255" cy="3085465"/>
            <wp:effectExtent l="0" t="0" r="0" b="0"/>
            <wp:wrapSquare wrapText="bothSides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0" t="0" r="901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255" cy="3085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11"/>
        <w:spacing w:lineRule="auto" w:line="276"/>
        <w:jc w:val="right"/>
        <w:rPr>
          <w:sz w:val="20"/>
        </w:rPr>
      </w:pPr>
      <w:r>
        <w:rPr>
          <w:sz w:val="20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  <w:t xml:space="preserve"> </w:t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  <w:lang w:val="ru-RU"/>
        </w:rPr>
      </w:pPr>
      <w:r>
        <w:rPr>
          <w:rFonts w:ascii="Arial" w:hAnsi="Arial"/>
          <w:b/>
          <w:sz w:val="35"/>
          <w:lang w:val="ru-RU"/>
        </w:rPr>
        <w:t>ОПРОСНЫЙ ЛИСТ</w:t>
      </w:r>
    </w:p>
    <w:p>
      <w:pPr>
        <w:pStyle w:val="normal11"/>
        <w:spacing w:lineRule="auto" w:line="276"/>
        <w:jc w:val="center"/>
        <w:rPr>
          <w:rFonts w:ascii="Arial" w:hAnsi="Arial"/>
          <w:strike w:val="false"/>
          <w:dstrike w:val="false"/>
          <w:sz w:val="35"/>
          <w:u w:val="none"/>
          <w:lang w:val="ru-RU"/>
        </w:rPr>
      </w:pPr>
      <w:r>
        <w:rPr>
          <w:rFonts w:ascii="Arial" w:hAnsi="Arial"/>
          <w:strike w:val="false"/>
          <w:dstrike w:val="false"/>
          <w:sz w:val="35"/>
          <w:u w:val="none"/>
          <w:lang w:val="ru-RU"/>
        </w:rPr>
        <w:t>НА ПРОЕКТИРОВАНИЕ И ПРОИЗВОДСТВО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  <w:b/>
          <w:strike w:val="false"/>
          <w:dstrike w:val="false"/>
          <w:sz w:val="48"/>
          <w:u w:val="none"/>
          <w:lang w:val="ru-RU"/>
        </w:rPr>
        <w:t>НЕФТЕПЕРЕКАЧИВАЮЩИЕ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  <w:b/>
          <w:strike w:val="false"/>
          <w:dstrike w:val="false"/>
          <w:sz w:val="48"/>
          <w:u w:val="none"/>
          <w:lang w:val="ru-RU"/>
        </w:rPr>
        <w:t>БЛОЧНО-МОДУЛЬНЫЕ НАСОСНЫЕ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  <w:b/>
          <w:strike w:val="false"/>
          <w:dstrike w:val="false"/>
          <w:sz w:val="48"/>
          <w:u w:val="none"/>
          <w:lang w:val="ru-RU"/>
        </w:rPr>
        <w:t xml:space="preserve">СТАНЦИИ </w:t>
      </w:r>
      <w:r>
        <w:rPr>
          <w:rFonts w:ascii="Arial" w:hAnsi="Arial"/>
          <w:b/>
          <w:strike w:val="false"/>
          <w:dstrike w:val="false"/>
          <w:color w:val="259038"/>
          <w:sz w:val="48"/>
          <w:u w:val="none"/>
          <w:lang w:val="ru-RU"/>
        </w:rPr>
        <w:t>ГРИН</w:t>
      </w:r>
      <w:r>
        <w:rPr>
          <w:rFonts w:ascii="Arial" w:hAnsi="Arial"/>
          <w:b/>
          <w:strike w:val="false"/>
          <w:dstrike w:val="false"/>
          <w:color w:val="283068"/>
          <w:sz w:val="48"/>
          <w:u w:val="none"/>
          <w:lang w:val="ru-RU"/>
        </w:rPr>
        <w:t>ЛОС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</w:rPr>
      </w:r>
    </w:p>
    <w:tbl>
      <w:tblPr>
        <w:tblW w:w="9690" w:type="dxa"/>
        <w:jc w:val="left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688"/>
        <w:gridCol w:w="4367"/>
        <w:gridCol w:w="4635"/>
      </w:tblGrid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/>
            </w:pPr>
            <w:r>
              <w:rPr/>
              <w:t>№</w:t>
            </w:r>
          </w:p>
        </w:tc>
        <w:tc>
          <w:tcPr>
            <w:tcW w:w="436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Наименование параметра / Раздел</w:t>
            </w:r>
          </w:p>
        </w:tc>
        <w:tc>
          <w:tcPr>
            <w:tcW w:w="463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Варианты выбора / Поля для заполнения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9002" w:type="dxa"/>
            <w:gridSpan w:val="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Общие вопросы (заполнение обязательно)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1.1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Организация / ИНН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1.2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Контактное лицо (ФИО, должность)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1.3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Телефон / E-mail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1.4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Адрес объекта строительства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1.5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Дата составления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2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Климатические и географические параметры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2.1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Район строительства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2.2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Абсолютная минимальная температура, °С (по ГОСТ 30852.9-2002)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2.3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Температура воздуха наиболее холодной пятидневки обеспеченностью 0.92, °С (по СП 131.13330.2012, табл. 3.1)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2.4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Сейсмичность района строительства, баллов (по СП 14.13330.2014, прил. А)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3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Вид контейнера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3.1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Арочного типа из сэндвич-панелей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3.2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20-футовый морской контейнер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3.3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40-футовый морской контейнер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4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Конструктивные параметры контейнера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4.1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Максимальные габаритные размеры контейнера, м (ДхШхВ)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4.2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Количество дверей, шт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4.3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Количество ворот, шт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5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Пожарная безопасность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5.1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Требуемая степень огнестойкости (по СНиП 21-01-97)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5.2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Категория здания (сооружения) по пожарной опасности (по СП 12.13130.2009)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5.3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Категория электрощитовой по пожарной опасности (по СП 12.13130.2009)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5.4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Категория машинного зала по пожарной опасности (по СП 12.13130.2009)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6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Взрывозащита и электроснабжение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6.1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Класс взрывоопасной зоны (по ГОСТ 30852.9-2002)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6.2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Категория взрывоопасной смеси (по ГОСТ 30852.11-2002)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6.3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Группа взрывоопасной смеси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6.4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Категория надежности электроснабжения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7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Грузоподъемные механизмы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7.1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Необходимость съемной крыши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7.2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Необходимость грузоподъемных механизмов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8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Параметры производительности станции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8.1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Производительность насосной станции, м³/ч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9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Рабочее давление насосной станции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9.1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На входе, м.в.ст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9.2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На выходе, м.в.ст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10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Насосные агрегаты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10.1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Количество рабочих насосных агрегатов, шт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10.2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Количество резервных насосных агрегатов, шт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10.3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Отечественный производитель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10.4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Импортный производитель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11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Характеристика рабочей среды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11.1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Наименование и свойства рабочей среды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12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Расположение всасывающего патрубка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12.1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С торца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12.2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С фасада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12.3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Через подошву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13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Расположение напорного патрубка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13.1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С торца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13.2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С фасада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13.3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Через подошву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14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Диаметр присоединительных фланцев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14.1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Ду всасывающего патрубка, мм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14.2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Ду напорного патрубка, мм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15</w:t>
            </w:r>
          </w:p>
        </w:tc>
        <w:tc>
          <w:tcPr>
            <w:tcW w:w="9002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Запорная арматура с электроприводом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15.1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Требуется на всасывающем патрубке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8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15.2</w:t>
            </w:r>
          </w:p>
        </w:tc>
        <w:tc>
          <w:tcPr>
            <w:tcW w:w="4367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Требуется на напорном патрубке</w:t>
            </w:r>
          </w:p>
        </w:tc>
        <w:tc>
          <w:tcPr>
            <w:tcW w:w="463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Да / Нет</w:t>
            </w:r>
          </w:p>
        </w:tc>
      </w:tr>
    </w:tbl>
    <w:p>
      <w:pPr>
        <w:pStyle w:val="Normal"/>
        <w:bidi w:val="0"/>
        <w:ind w:hanging="0" w:left="0" w:right="0"/>
        <w:jc w:val="left"/>
        <w:rPr>
          <w:rFonts w:ascii="Google Sans" w:hAnsi="Google Sans"/>
          <w:b/>
          <w:strike w:val="false"/>
          <w:dstrike w:val="false"/>
          <w:u w:val="none"/>
        </w:rPr>
      </w:pPr>
      <w:r>
        <w:rPr>
          <w:rFonts w:ascii="Google Sans" w:hAnsi="Google Sans"/>
          <w:b/>
          <w:strike w:val="false"/>
          <w:dstrike w:val="false"/>
          <w:u w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Google San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Style13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 Unicode M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 Unicode MS"/>
    </w:rPr>
  </w:style>
  <w:style w:type="paragraph" w:styleId="DStyleparagraph">
    <w:name w:val="DStyle_paragraph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SimSun" w:cs="Arial Unicode MS"/>
      <w:color w:val="000000"/>
      <w:kern w:val="2"/>
      <w:sz w:val="24"/>
      <w:szCs w:val="24"/>
      <w:lang w:val="ru-RU" w:eastAsia="zh-CN" w:bidi="hi-IN"/>
    </w:rPr>
  </w:style>
  <w:style w:type="paragraph" w:styleId="normal11">
    <w:name w:val="normal11"/>
    <w:basedOn w:val="DStyleparagraph"/>
    <w:qFormat/>
    <w:pPr>
      <w:spacing w:lineRule="auto" w:line="276" w:before="0" w:after="0"/>
      <w:jc w:val="left"/>
    </w:pPr>
    <w:rPr>
      <w:rFonts w:ascii="Liberation Serif" w:hAnsi="Liberation Serif" w:eastAsia="NSimSun" w:cs="Arial Unicode MS"/>
      <w:color w:val="000000"/>
      <w:sz w:val="24"/>
      <w:lang w:val="ru-RU"/>
    </w:rPr>
  </w:style>
  <w:style w:type="paragraph" w:styleId="user2">
    <w:name w:val="Содержимое таблицы (user)"/>
    <w:basedOn w:val="Normal"/>
    <w:qFormat/>
    <w:pPr>
      <w:spacing w:before="0" w:after="0"/>
    </w:pPr>
    <w:rPr/>
  </w:style>
  <w:style w:type="paragraph" w:styleId="user3">
    <w:name w:val="Заголовок таблицы (user)"/>
    <w:basedOn w:val="DStyleparagraph"/>
    <w:qFormat/>
    <w:pPr>
      <w:shd w:val="clear" w:fill="009353"/>
      <w:tabs>
        <w:tab w:val="clear" w:pos="709"/>
      </w:tabs>
      <w:jc w:val="left"/>
    </w:pPr>
    <w:rPr>
      <w:rFonts w:ascii="Arial" w:hAnsi="Arial"/>
      <w:b/>
      <w:color w:val="FFFFFF"/>
      <w:w w:val="101"/>
      <w:sz w:val="22"/>
      <w:shd w:fill="009353" w:val="clear"/>
    </w:rPr>
  </w:style>
  <w:style w:type="paragraph" w:styleId="Style15">
    <w:name w:val="ПОДЗАГОЛОВОК ТАБЛИЦЫ"/>
    <w:basedOn w:val="DStyleparagraph"/>
    <w:qFormat/>
    <w:pPr/>
    <w:rPr/>
  </w:style>
  <w:style w:type="paragraph" w:styleId="Title">
    <w:name w:val="Title"/>
    <w:basedOn w:val="Style13"/>
    <w:next w:val="BodyText"/>
    <w:qFormat/>
    <w:pPr>
      <w:jc w:val="center"/>
    </w:pPr>
    <w:rPr>
      <w:b/>
      <w:bCs/>
      <w:sz w:val="56"/>
      <w:szCs w:val="56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greenlos.ru/" TargetMode="External"/><Relationship Id="rId4" Type="http://schemas.openxmlformats.org/officeDocument/2006/relationships/image" Target="media/image2.jpe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LibreOffice/26.2.4.2$Windows_X86_64 LibreOffice_project/0229ac93fcf0d7cbc6376066c6f35021cef002dc</Application>
  <AppVersion>15.0000</AppVersion>
  <Pages>4</Pages>
  <Words>393</Words>
  <Characters>2430</Characters>
  <CharactersWithSpaces>2679</CharactersWithSpaces>
  <Paragraphs>147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2026-07-21T12:57:49Z</dcterms:created>
  <dc:creator/>
  <dc:description/>
  <dc:language>ru-RU</dc:language>
  <cp:lastModifiedBy/>
  <dcterms:modified xsi:type="dcterms:W3CDTF">2026-07-22T04:45:54Z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